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71" w:rsidRDefault="00B74100" w:rsidP="00C14055">
      <w:pPr>
        <w:pStyle w:val="NoSpacing"/>
      </w:pPr>
      <w:r>
        <w:t>Name __________________________________</w:t>
      </w:r>
      <w:r>
        <w:tab/>
      </w:r>
      <w:r>
        <w:tab/>
        <w:t>Period ____</w:t>
      </w:r>
      <w:proofErr w:type="gramStart"/>
      <w:r>
        <w:t>_  Chapter</w:t>
      </w:r>
      <w:proofErr w:type="gramEnd"/>
      <w:r>
        <w:t xml:space="preserve"> 12-13 Vocab</w:t>
      </w:r>
    </w:p>
    <w:p w:rsidR="00C14055" w:rsidRDefault="00C14055" w:rsidP="00C14055">
      <w:pPr>
        <w:pStyle w:val="NoSpacing"/>
        <w:numPr>
          <w:ilvl w:val="0"/>
          <w:numId w:val="1"/>
        </w:numPr>
        <w:spacing w:line="960" w:lineRule="auto"/>
        <w:sectPr w:rsidR="00C14055" w:rsidSect="00B74100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lastRenderedPageBreak/>
        <w:t>I</w:t>
      </w:r>
      <w:r>
        <w:t>mperialism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P</w:t>
      </w:r>
      <w:r>
        <w:t>rotectorate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Anglo-</w:t>
      </w:r>
      <w:proofErr w:type="spellStart"/>
      <w:r>
        <w:t>Saxonism</w:t>
      </w:r>
      <w:bookmarkStart w:id="0" w:name="_GoBack"/>
      <w:bookmarkEnd w:id="0"/>
      <w:proofErr w:type="spellEnd"/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Matthew C. Perry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Queen Liliuokalani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Pan-Americanism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Alfred T. Mahan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Henry Cabot Lodge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 xml:space="preserve">José </w:t>
      </w:r>
      <w:proofErr w:type="spellStart"/>
      <w:r>
        <w:t>Martí</w:t>
      </w:r>
      <w:proofErr w:type="spellEnd"/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William Randolph Hearst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Joseph Pulitzer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yellow journalism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jingoism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Theodore Roosevelt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lastRenderedPageBreak/>
        <w:t>Platt Amendment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sphere of influence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Open Door policy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Boxer Rebellion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“Great White Fleet”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Hay-</w:t>
      </w:r>
      <w:proofErr w:type="spellStart"/>
      <w:r>
        <w:t>Pauncefote</w:t>
      </w:r>
      <w:proofErr w:type="spellEnd"/>
      <w:r>
        <w:t xml:space="preserve"> Treaty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Roosevelt Corollary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dollar diplomacy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progressivism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muckrakers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Jacob Riis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commission plan</w:t>
      </w:r>
      <w:r>
        <w:t>]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 xml:space="preserve">Robert La </w:t>
      </w:r>
      <w:proofErr w:type="spellStart"/>
      <w:r>
        <w:t>Follette</w:t>
      </w:r>
      <w:proofErr w:type="spellEnd"/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direct primary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lastRenderedPageBreak/>
        <w:t>initiative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referendum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recall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suffrage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Alice Paul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T</w:t>
      </w:r>
      <w:r>
        <w:t>emperance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P</w:t>
      </w:r>
      <w:r>
        <w:t>rohibition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S</w:t>
      </w:r>
      <w:r>
        <w:t>ocialism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Square Deal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Northern Securities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United Mine Workers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A</w:t>
      </w:r>
      <w:r>
        <w:t>rbitration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Hepburn Act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Upton Sinclair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lastRenderedPageBreak/>
        <w:t>Joseph G. Cannon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Payne-Aldrich Tariff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Richard Ballinger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S</w:t>
      </w:r>
      <w:r>
        <w:t>yndicate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I</w:t>
      </w:r>
      <w:r>
        <w:t>nsubordination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Progressive Party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New Nationalism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New Freedom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income tax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Federal Reserve Act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Federal Trade Commission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t>unfair trade practices</w:t>
      </w:r>
    </w:p>
    <w:p w:rsidR="00B74100" w:rsidRDefault="00B74100" w:rsidP="00C14055">
      <w:pPr>
        <w:pStyle w:val="NoSpacing"/>
        <w:numPr>
          <w:ilvl w:val="0"/>
          <w:numId w:val="1"/>
        </w:numPr>
        <w:spacing w:line="960" w:lineRule="auto"/>
      </w:pPr>
      <w:r>
        <w:rPr>
          <w:rFonts w:ascii="Frutiger-Roman" w:hAnsi="Frutiger-Roman" w:cs="Frutiger-Roman"/>
        </w:rPr>
        <w:t>NAACP</w:t>
      </w:r>
    </w:p>
    <w:sectPr w:rsidR="00B74100" w:rsidSect="00C14055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01A9"/>
    <w:multiLevelType w:val="hybridMultilevel"/>
    <w:tmpl w:val="B94E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00"/>
    <w:rsid w:val="008C4B71"/>
    <w:rsid w:val="00B74100"/>
    <w:rsid w:val="00C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1CBD3-3B51-40D5-9D03-D62D84A8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2</cp:revision>
  <dcterms:created xsi:type="dcterms:W3CDTF">2016-02-17T14:48:00Z</dcterms:created>
  <dcterms:modified xsi:type="dcterms:W3CDTF">2016-02-17T14:59:00Z</dcterms:modified>
</cp:coreProperties>
</file>